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21"/>
        <w:spacing w:lineRule="exact" w:line="322" w:before="69" w:after="0"/>
        <w:rPr/>
      </w:pPr>
      <w:r>
        <w:rPr/>
        <w:t>Справка</w:t>
      </w:r>
    </w:p>
    <w:p>
      <w:pPr>
        <w:pStyle w:val="Style21"/>
        <w:tabs>
          <w:tab w:val="clear" w:pos="708"/>
          <w:tab w:val="left" w:pos="3318" w:leader="none"/>
        </w:tabs>
        <w:spacing w:lineRule="auto" w:line="240"/>
        <w:ind w:left="1152" w:right="1018" w:hanging="0"/>
        <w:rPr>
          <w:rFonts w:ascii="Calibri" w:hAnsi="Calibri"/>
          <w:b w:val="false"/>
          <w:b w:val="false"/>
          <w:sz w:val="24"/>
        </w:rPr>
      </w:pPr>
      <w:r>
        <w:rPr/>
        <w:t>по результатам</w:t>
        <w:tab/>
        <w:t xml:space="preserve">проведения оценки качества </w:t>
      </w:r>
      <w:r>
        <w:rPr>
          <w:spacing w:val="-4"/>
        </w:rPr>
        <w:t xml:space="preserve">условий </w:t>
      </w:r>
      <w:r>
        <w:rPr/>
        <w:t>образовательной деятельности МОУ «Неклюдовская СОШ им. В.А. Русакова» на начало 2023-2024 учебного года</w:t>
      </w:r>
    </w:p>
    <w:p>
      <w:pPr>
        <w:pStyle w:val="Normal"/>
        <w:shd w:val="clear" w:color="auto" w:fill="FFFFFF"/>
        <w:spacing w:lineRule="auto" w:line="240" w:before="0" w:after="0"/>
        <w:ind w:firstLine="709"/>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Необходимость разработки программы развития кадрового потенциала возникла в связи с возросшей потребностью в педагогических кадрах, «старением» и «профессиональным выгоранием» учителей. Непрерывное обновление компетенций педагогических кадров на современном этапе развития системы образования становится залогом успеха в решении задач, сформулированных в Федеральных образовательных стандартах на уровне общего образования. Повышение эффективности общего образования, а также его конкурентоспособности напрямую зависит от профессионального уровня педагогических работников. Профессионализм работы педагога обеспечивает формирование качественно новой системы общего образования, является одним из ключевых условий развития детей, их успешной социализации. Определяющим условием развития и модернизации образовательной системы является обеспечение образовательных организаций квалифицированными кадрами и эффективность деятельности образовательной организации зависит в первую очередь от людей, которые в ней работают. И даже не столько от профессионализма каждого конкретного работника, сколько от того, как организовано взаимодействие между ними. В новых условиях приходит понимание необходимости освоения способов совместной деятельности педагогов, независимо от их предметной специальности, развития метапредметных профессиональных компетентностей и т.д.</w:t>
      </w:r>
    </w:p>
    <w:p>
      <w:pPr>
        <w:pStyle w:val="Normal"/>
        <w:shd w:val="clear" w:color="auto" w:fill="FFFFFF"/>
        <w:spacing w:lineRule="auto" w:line="360" w:before="0" w:after="15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jc w:val="center"/>
        <w:rPr>
          <w:rFonts w:ascii="Times New Roman" w:hAnsi="Times New Roman" w:cs="Times New Roman"/>
          <w:b/>
          <w:b/>
          <w:sz w:val="24"/>
          <w:szCs w:val="24"/>
        </w:rPr>
      </w:pPr>
      <w:r>
        <w:rPr>
          <w:rFonts w:cs="Times New Roman" w:ascii="Times New Roman" w:hAnsi="Times New Roman"/>
          <w:b/>
          <w:sz w:val="24"/>
          <w:szCs w:val="24"/>
        </w:rPr>
        <w:t xml:space="preserve">Сводная таблица педагогов МОУ </w:t>
      </w:r>
      <w:r>
        <w:rPr>
          <w:rFonts w:cs="Times New Roman" w:ascii="Times New Roman" w:hAnsi="Times New Roman"/>
          <w:b/>
          <w:sz w:val="24"/>
          <w:szCs w:val="24"/>
        </w:rPr>
        <w:t>ГОРИЦКАЯ СОШ.</w:t>
      </w:r>
    </w:p>
    <w:p>
      <w:pPr>
        <w:pStyle w:val="Normal"/>
        <w:jc w:val="center"/>
        <w:rPr>
          <w:rFonts w:ascii="Times New Roman" w:hAnsi="Times New Roman" w:cs="Times New Roman"/>
          <w:b/>
          <w:b/>
          <w:sz w:val="24"/>
          <w:szCs w:val="24"/>
        </w:rPr>
      </w:pPr>
      <w:r>
        <w:rPr>
          <w:rFonts w:cs="Times New Roman" w:ascii="Times New Roman" w:hAnsi="Times New Roman"/>
          <w:b/>
          <w:sz w:val="24"/>
          <w:szCs w:val="24"/>
        </w:rPr>
        <w:t>«ОБРАЗОВАТЕЛЬНЫЙ ЦЕНТР</w:t>
      </w:r>
      <w:r>
        <w:rPr>
          <w:rFonts w:cs="Times New Roman" w:ascii="Times New Roman" w:hAnsi="Times New Roman"/>
          <w:b/>
          <w:sz w:val="24"/>
          <w:szCs w:val="24"/>
        </w:rPr>
        <w:t>»</w:t>
      </w:r>
    </w:p>
    <w:p>
      <w:pPr>
        <w:pStyle w:val="Normal"/>
        <w:jc w:val="center"/>
        <w:rPr>
          <w:rFonts w:ascii="Times New Roman" w:hAnsi="Times New Roman" w:cs="Times New Roman"/>
          <w:b/>
          <w:b/>
          <w:sz w:val="24"/>
          <w:szCs w:val="24"/>
        </w:rPr>
      </w:pPr>
      <w:r>
        <w:rPr>
          <w:rFonts w:cs="Times New Roman" w:ascii="Times New Roman" w:hAnsi="Times New Roman"/>
          <w:b/>
          <w:sz w:val="24"/>
          <w:szCs w:val="24"/>
        </w:rPr>
        <w:t>На 01.09.2023</w:t>
      </w:r>
    </w:p>
    <w:tbl>
      <w:tblPr>
        <w:tblStyle w:val="a3"/>
        <w:tblW w:w="9776" w:type="dxa"/>
        <w:jc w:val="left"/>
        <w:tblInd w:w="0" w:type="dxa"/>
        <w:tblLayout w:type="fixed"/>
        <w:tblCellMar>
          <w:top w:w="0" w:type="dxa"/>
          <w:left w:w="108" w:type="dxa"/>
          <w:bottom w:w="0" w:type="dxa"/>
          <w:right w:w="108" w:type="dxa"/>
        </w:tblCellMar>
        <w:tblLook w:val="04a0"/>
      </w:tblPr>
      <w:tblGrid>
        <w:gridCol w:w="2830"/>
        <w:gridCol w:w="1984"/>
        <w:gridCol w:w="1844"/>
        <w:gridCol w:w="1558"/>
        <w:gridCol w:w="1560"/>
      </w:tblGrid>
      <w:tr>
        <w:trPr/>
        <w:tc>
          <w:tcPr>
            <w:tcW w:w="2830"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ФИО</w:t>
            </w:r>
          </w:p>
        </w:tc>
        <w:tc>
          <w:tcPr>
            <w:tcW w:w="198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Стаж работы</w:t>
            </w:r>
          </w:p>
        </w:tc>
        <w:tc>
          <w:tcPr>
            <w:tcW w:w="184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Должность </w:t>
            </w:r>
          </w:p>
        </w:tc>
        <w:tc>
          <w:tcPr>
            <w:tcW w:w="1558"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Категория </w:t>
            </w:r>
          </w:p>
        </w:tc>
        <w:tc>
          <w:tcPr>
            <w:tcW w:w="1560"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Лет</w:t>
            </w:r>
          </w:p>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(педстаж)</w:t>
            </w:r>
          </w:p>
        </w:tc>
      </w:tr>
      <w:tr>
        <w:trPr/>
        <w:tc>
          <w:tcPr>
            <w:tcW w:w="283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Аникина Лидия Веньяминовна</w:t>
            </w:r>
          </w:p>
        </w:tc>
        <w:tc>
          <w:tcPr>
            <w:tcW w:w="1984"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c>
          <w:tcPr>
            <w:tcW w:w="184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учитель</w:t>
            </w:r>
          </w:p>
        </w:tc>
        <w:tc>
          <w:tcPr>
            <w:tcW w:w="1558"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высшая</w:t>
            </w:r>
          </w:p>
        </w:tc>
        <w:tc>
          <w:tcPr>
            <w:tcW w:w="1560"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r>
      <w:tr>
        <w:trPr/>
        <w:tc>
          <w:tcPr>
            <w:tcW w:w="283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Белякова Ольга Леонидовна</w:t>
            </w:r>
          </w:p>
        </w:tc>
        <w:tc>
          <w:tcPr>
            <w:tcW w:w="1984"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c>
          <w:tcPr>
            <w:tcW w:w="184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учитель</w:t>
            </w:r>
          </w:p>
        </w:tc>
        <w:tc>
          <w:tcPr>
            <w:tcW w:w="1558"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высшая</w:t>
            </w:r>
          </w:p>
        </w:tc>
        <w:tc>
          <w:tcPr>
            <w:tcW w:w="1560"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r>
      <w:tr>
        <w:trPr/>
        <w:tc>
          <w:tcPr>
            <w:tcW w:w="283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Гусарова Ирина Вячеславовна</w:t>
            </w:r>
          </w:p>
        </w:tc>
        <w:tc>
          <w:tcPr>
            <w:tcW w:w="1984"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c>
          <w:tcPr>
            <w:tcW w:w="184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Зам дир по УВР</w:t>
            </w:r>
          </w:p>
        </w:tc>
        <w:tc>
          <w:tcPr>
            <w:tcW w:w="1558"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высшая</w:t>
            </w:r>
          </w:p>
        </w:tc>
        <w:tc>
          <w:tcPr>
            <w:tcW w:w="1560"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r>
      <w:tr>
        <w:trPr/>
        <w:tc>
          <w:tcPr>
            <w:tcW w:w="283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Дорофеева Ольга Ивановна</w:t>
            </w:r>
          </w:p>
        </w:tc>
        <w:tc>
          <w:tcPr>
            <w:tcW w:w="1984"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c>
          <w:tcPr>
            <w:tcW w:w="184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учитель</w:t>
            </w:r>
          </w:p>
        </w:tc>
        <w:tc>
          <w:tcPr>
            <w:tcW w:w="1558"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соответствие </w:t>
            </w:r>
          </w:p>
        </w:tc>
        <w:tc>
          <w:tcPr>
            <w:tcW w:w="1560"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r>
      <w:tr>
        <w:trPr/>
        <w:tc>
          <w:tcPr>
            <w:tcW w:w="283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w:t>
            </w:r>
            <w:r>
              <w:rPr>
                <w:rFonts w:eastAsia="Calibri" w:cs="Times New Roman" w:ascii="Times New Roman" w:hAnsi="Times New Roman"/>
                <w:kern w:val="0"/>
                <w:sz w:val="24"/>
                <w:szCs w:val="24"/>
                <w:lang w:val="ru-RU" w:eastAsia="en-US" w:bidi="ar-SA"/>
              </w:rPr>
              <w:t>озлов Александр Иванович</w:t>
            </w:r>
          </w:p>
        </w:tc>
        <w:tc>
          <w:tcPr>
            <w:tcW w:w="1984"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c>
          <w:tcPr>
            <w:tcW w:w="184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учи</w:t>
            </w:r>
            <w:r>
              <w:rPr>
                <w:rFonts w:eastAsia="Calibri" w:cs="Times New Roman" w:ascii="Times New Roman" w:hAnsi="Times New Roman"/>
                <w:kern w:val="0"/>
                <w:sz w:val="24"/>
                <w:szCs w:val="24"/>
                <w:lang w:val="ru-RU" w:eastAsia="en-US" w:bidi="ar-SA"/>
              </w:rPr>
              <w:t>тель</w:t>
            </w:r>
          </w:p>
        </w:tc>
        <w:tc>
          <w:tcPr>
            <w:tcW w:w="1558"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высшая</w:t>
            </w:r>
          </w:p>
        </w:tc>
        <w:tc>
          <w:tcPr>
            <w:tcW w:w="1560"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r>
      <w:tr>
        <w:trPr/>
        <w:tc>
          <w:tcPr>
            <w:tcW w:w="283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Козлова Оксана Николаевна</w:t>
            </w:r>
          </w:p>
        </w:tc>
        <w:tc>
          <w:tcPr>
            <w:tcW w:w="1984"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c>
          <w:tcPr>
            <w:tcW w:w="184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учитель</w:t>
            </w:r>
          </w:p>
        </w:tc>
        <w:tc>
          <w:tcPr>
            <w:tcW w:w="1558"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первая</w:t>
            </w:r>
          </w:p>
        </w:tc>
        <w:tc>
          <w:tcPr>
            <w:tcW w:w="1560"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r>
      <w:tr>
        <w:trPr/>
        <w:tc>
          <w:tcPr>
            <w:tcW w:w="283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Котова Ирина Викторовна</w:t>
            </w:r>
          </w:p>
        </w:tc>
        <w:tc>
          <w:tcPr>
            <w:tcW w:w="1984"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c>
          <w:tcPr>
            <w:tcW w:w="184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учитель</w:t>
            </w:r>
          </w:p>
        </w:tc>
        <w:tc>
          <w:tcPr>
            <w:tcW w:w="1558"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высш</w:t>
            </w:r>
            <w:r>
              <w:rPr>
                <w:rFonts w:eastAsia="Calibri" w:cs="Times New Roman" w:ascii="Times New Roman" w:hAnsi="Times New Roman"/>
                <w:kern w:val="0"/>
                <w:sz w:val="24"/>
                <w:szCs w:val="24"/>
                <w:lang w:val="ru-RU" w:eastAsia="en-US" w:bidi="ar-SA"/>
              </w:rPr>
              <w:t>ая</w:t>
            </w:r>
          </w:p>
        </w:tc>
        <w:tc>
          <w:tcPr>
            <w:tcW w:w="1560"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r>
      <w:tr>
        <w:trPr/>
        <w:tc>
          <w:tcPr>
            <w:tcW w:w="283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Кузьмина Светлана Юрьевна</w:t>
            </w:r>
          </w:p>
        </w:tc>
        <w:tc>
          <w:tcPr>
            <w:tcW w:w="1984"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c>
          <w:tcPr>
            <w:tcW w:w="184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учитель</w:t>
            </w:r>
          </w:p>
        </w:tc>
        <w:tc>
          <w:tcPr>
            <w:tcW w:w="1558"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высшая</w:t>
            </w:r>
          </w:p>
        </w:tc>
        <w:tc>
          <w:tcPr>
            <w:tcW w:w="1560"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r>
      <w:tr>
        <w:trPr/>
        <w:tc>
          <w:tcPr>
            <w:tcW w:w="283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Лопаткин Владимир Иванович</w:t>
            </w:r>
          </w:p>
        </w:tc>
        <w:tc>
          <w:tcPr>
            <w:tcW w:w="1984"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c>
          <w:tcPr>
            <w:tcW w:w="184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учитель</w:t>
            </w:r>
          </w:p>
        </w:tc>
        <w:tc>
          <w:tcPr>
            <w:tcW w:w="1558"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первая</w:t>
            </w:r>
          </w:p>
        </w:tc>
        <w:tc>
          <w:tcPr>
            <w:tcW w:w="1560"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r>
      <w:tr>
        <w:trPr/>
        <w:tc>
          <w:tcPr>
            <w:tcW w:w="283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Лутова Антонина Сергеевна</w:t>
            </w:r>
          </w:p>
        </w:tc>
        <w:tc>
          <w:tcPr>
            <w:tcW w:w="1984"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c>
          <w:tcPr>
            <w:tcW w:w="184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учитель</w:t>
            </w:r>
          </w:p>
        </w:tc>
        <w:tc>
          <w:tcPr>
            <w:tcW w:w="1558"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соответствие</w:t>
            </w:r>
          </w:p>
        </w:tc>
        <w:tc>
          <w:tcPr>
            <w:tcW w:w="1560"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r>
      <w:tr>
        <w:trPr/>
        <w:tc>
          <w:tcPr>
            <w:tcW w:w="283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Меньшова Наталья Павловна</w:t>
            </w:r>
          </w:p>
        </w:tc>
        <w:tc>
          <w:tcPr>
            <w:tcW w:w="1984"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c>
          <w:tcPr>
            <w:tcW w:w="184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учитель</w:t>
            </w:r>
          </w:p>
        </w:tc>
        <w:tc>
          <w:tcPr>
            <w:tcW w:w="1558"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высшая</w:t>
            </w:r>
          </w:p>
        </w:tc>
        <w:tc>
          <w:tcPr>
            <w:tcW w:w="1560"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r>
      <w:tr>
        <w:trPr/>
        <w:tc>
          <w:tcPr>
            <w:tcW w:w="283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Одноколенко Сергей Олегович</w:t>
            </w:r>
          </w:p>
        </w:tc>
        <w:tc>
          <w:tcPr>
            <w:tcW w:w="1984"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c>
          <w:tcPr>
            <w:tcW w:w="184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учитель</w:t>
            </w:r>
          </w:p>
        </w:tc>
        <w:tc>
          <w:tcPr>
            <w:tcW w:w="1558"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высшая</w:t>
            </w:r>
          </w:p>
        </w:tc>
        <w:tc>
          <w:tcPr>
            <w:tcW w:w="1560"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r>
      <w:tr>
        <w:trPr/>
        <w:tc>
          <w:tcPr>
            <w:tcW w:w="283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Рудакова Светлана Степановна</w:t>
            </w:r>
          </w:p>
        </w:tc>
        <w:tc>
          <w:tcPr>
            <w:tcW w:w="1984"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c>
          <w:tcPr>
            <w:tcW w:w="184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учитель</w:t>
            </w:r>
          </w:p>
        </w:tc>
        <w:tc>
          <w:tcPr>
            <w:tcW w:w="1558"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высшая</w:t>
            </w:r>
          </w:p>
        </w:tc>
        <w:tc>
          <w:tcPr>
            <w:tcW w:w="1560"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r>
      <w:tr>
        <w:trPr/>
        <w:tc>
          <w:tcPr>
            <w:tcW w:w="283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Туляева Елена </w:t>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Юрьевна</w:t>
            </w:r>
          </w:p>
        </w:tc>
        <w:tc>
          <w:tcPr>
            <w:tcW w:w="1984"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c>
          <w:tcPr>
            <w:tcW w:w="184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учитель</w:t>
            </w:r>
          </w:p>
        </w:tc>
        <w:tc>
          <w:tcPr>
            <w:tcW w:w="1558"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высшая</w:t>
            </w:r>
          </w:p>
        </w:tc>
        <w:tc>
          <w:tcPr>
            <w:tcW w:w="1560"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r>
      <w:tr>
        <w:trPr/>
        <w:tc>
          <w:tcPr>
            <w:tcW w:w="283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Шишкова Татьяна Валерьевна</w:t>
            </w:r>
          </w:p>
        </w:tc>
        <w:tc>
          <w:tcPr>
            <w:tcW w:w="1984"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c>
          <w:tcPr>
            <w:tcW w:w="184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учитель</w:t>
            </w:r>
          </w:p>
        </w:tc>
        <w:tc>
          <w:tcPr>
            <w:tcW w:w="1558"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первая</w:t>
            </w:r>
          </w:p>
        </w:tc>
        <w:tc>
          <w:tcPr>
            <w:tcW w:w="1560"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r>
      <w:tr>
        <w:trPr/>
        <w:tc>
          <w:tcPr>
            <w:tcW w:w="283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Шувалов Николай Вячеславович</w:t>
            </w:r>
          </w:p>
        </w:tc>
        <w:tc>
          <w:tcPr>
            <w:tcW w:w="1984"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c>
          <w:tcPr>
            <w:tcW w:w="184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учитель</w:t>
            </w:r>
          </w:p>
        </w:tc>
        <w:tc>
          <w:tcPr>
            <w:tcW w:w="1558"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высшая</w:t>
            </w:r>
          </w:p>
        </w:tc>
        <w:tc>
          <w:tcPr>
            <w:tcW w:w="1560"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r>
      <w:tr>
        <w:trPr/>
        <w:tc>
          <w:tcPr>
            <w:tcW w:w="283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Ястребова Татьяна  Юрьевна</w:t>
            </w:r>
          </w:p>
        </w:tc>
        <w:tc>
          <w:tcPr>
            <w:tcW w:w="1984"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c>
          <w:tcPr>
            <w:tcW w:w="184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директор</w:t>
            </w:r>
          </w:p>
        </w:tc>
        <w:tc>
          <w:tcPr>
            <w:tcW w:w="1558"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высшая</w:t>
            </w:r>
          </w:p>
        </w:tc>
        <w:tc>
          <w:tcPr>
            <w:tcW w:w="1560"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r>
      <w:tr>
        <w:trPr/>
        <w:tc>
          <w:tcPr>
            <w:tcW w:w="283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Белоусова Жанна Викторовна</w:t>
            </w:r>
          </w:p>
        </w:tc>
        <w:tc>
          <w:tcPr>
            <w:tcW w:w="1984"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c>
          <w:tcPr>
            <w:tcW w:w="184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учи</w:t>
            </w:r>
            <w:r>
              <w:rPr>
                <w:rFonts w:eastAsia="Calibri" w:cs="Times New Roman" w:ascii="Times New Roman" w:hAnsi="Times New Roman"/>
                <w:kern w:val="0"/>
                <w:sz w:val="24"/>
                <w:szCs w:val="24"/>
                <w:lang w:val="ru-RU" w:eastAsia="en-US" w:bidi="ar-SA"/>
              </w:rPr>
              <w:t>тель</w:t>
            </w:r>
          </w:p>
        </w:tc>
        <w:tc>
          <w:tcPr>
            <w:tcW w:w="1558"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соответствие</w:t>
            </w:r>
          </w:p>
        </w:tc>
        <w:tc>
          <w:tcPr>
            <w:tcW w:w="1560"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r>
      <w:tr>
        <w:trPr/>
        <w:tc>
          <w:tcPr>
            <w:tcW w:w="283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Цыгулев Евгений Валерьевич</w:t>
            </w:r>
          </w:p>
        </w:tc>
        <w:tc>
          <w:tcPr>
            <w:tcW w:w="1984"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c>
          <w:tcPr>
            <w:tcW w:w="184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учит</w:t>
            </w:r>
            <w:r>
              <w:rPr>
                <w:rFonts w:eastAsia="Calibri" w:cs="Times New Roman" w:ascii="Times New Roman" w:hAnsi="Times New Roman"/>
                <w:kern w:val="0"/>
                <w:sz w:val="24"/>
                <w:szCs w:val="24"/>
                <w:lang w:val="ru-RU" w:eastAsia="en-US" w:bidi="ar-SA"/>
              </w:rPr>
              <w:t>ель</w:t>
            </w:r>
          </w:p>
        </w:tc>
        <w:tc>
          <w:tcPr>
            <w:tcW w:w="1558"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первая</w:t>
            </w:r>
          </w:p>
        </w:tc>
        <w:tc>
          <w:tcPr>
            <w:tcW w:w="1560" w:type="dxa"/>
            <w:tcBorders/>
          </w:tcPr>
          <w:p>
            <w:pPr>
              <w:pStyle w:val="Normal"/>
              <w:widowControl/>
              <w:spacing w:lineRule="auto" w:line="240" w:before="0" w:after="0"/>
              <w:jc w:val="center"/>
              <w:rPr>
                <w:rFonts w:ascii="Times New Roman" w:hAnsi="Times New Roman" w:cs="Times New Roman"/>
                <w:sz w:val="24"/>
                <w:szCs w:val="24"/>
              </w:rPr>
            </w:pPr>
            <w:r>
              <w:rPr>
                <w:rFonts w:eastAsia="Calibri"/>
                <w:kern w:val="0"/>
                <w:lang w:val="ru-RU" w:eastAsia="en-US" w:bidi="ar-SA"/>
              </w:rPr>
            </w:r>
          </w:p>
        </w:tc>
      </w:tr>
    </w:tbl>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spacing w:lineRule="auto" w:line="240" w:before="0" w:after="0"/>
        <w:ind w:firstLine="709"/>
        <w:jc w:val="both"/>
        <w:rPr>
          <w:rFonts w:ascii="Times New Roman" w:hAnsi="Times New Roman" w:eastAsia="Times New Roman" w:cs="Times New Roman"/>
          <w:color w:val="000000"/>
          <w:sz w:val="24"/>
          <w:szCs w:val="24"/>
          <w:lang w:eastAsia="ru-RU"/>
        </w:rPr>
      </w:pPr>
      <w:bookmarkStart w:id="0" w:name="_GoBack"/>
      <w:bookmarkEnd w:id="0"/>
      <w:r>
        <w:rPr>
          <w:rFonts w:eastAsia="Times New Roman" w:cs="Times New Roman" w:ascii="Times New Roman" w:hAnsi="Times New Roman"/>
          <w:color w:val="000000"/>
          <w:sz w:val="24"/>
          <w:szCs w:val="24"/>
          <w:lang w:eastAsia="ru-RU"/>
        </w:rPr>
        <w:t>Для кадрового потенциала школы характерны стабильность состава, тенденция к повышению квалификации.</w:t>
      </w:r>
    </w:p>
    <w:p>
      <w:pPr>
        <w:pStyle w:val="Normal"/>
        <w:shd w:val="clear" w:color="auto" w:fill="FFFFFF"/>
        <w:spacing w:lineRule="auto" w:line="240" w:before="0" w:after="0"/>
        <w:ind w:firstLine="709"/>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С целью мониторинга уровня мастерства педагогических кадров в школе ведется карта диагностики профессионального мастерства, сравнительный анализ качества преподавания по четвертям, годам, имеются портфолио педагогов. Опираясь на результаты мониторинга, администрация школы осуществляет распространение педагогического опыта на разных уровнях через семинары, научно-практические конференции, конкурсы профессионального мастерства, что позволяет в системе вести работу по повышению профессионального мастерства учителей.</w:t>
      </w:r>
    </w:p>
    <w:p>
      <w:pPr>
        <w:pStyle w:val="Normal"/>
        <w:shd w:val="clear" w:color="auto" w:fill="FFFFFF"/>
        <w:spacing w:lineRule="auto" w:line="240" w:before="0" w:after="0"/>
        <w:ind w:firstLine="709"/>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 xml:space="preserve">Учителя, согласно перспективному плану, проходят педагогическую аттестацию, курсы повышения квалификации. </w:t>
      </w:r>
    </w:p>
    <w:p>
      <w:pPr>
        <w:pStyle w:val="Normal"/>
        <w:shd w:val="clear" w:color="auto" w:fill="FFFFFF"/>
        <w:spacing w:lineRule="auto" w:line="240" w:before="0" w:after="0"/>
        <w:ind w:firstLine="709"/>
        <w:jc w:val="both"/>
        <w:rPr>
          <w:rFonts w:ascii="Times New Roman" w:hAnsi="Times New Roman" w:eastAsia="Times New Roman" w:cs="Times New Roman"/>
          <w:b/>
          <w:b/>
          <w:color w:val="000000"/>
          <w:sz w:val="24"/>
          <w:szCs w:val="24"/>
          <w:lang w:eastAsia="ru-RU"/>
        </w:rPr>
      </w:pPr>
      <w:r>
        <w:rPr>
          <w:rFonts w:eastAsia="Times New Roman" w:cs="Times New Roman" w:ascii="Times New Roman" w:hAnsi="Times New Roman"/>
          <w:b/>
          <w:color w:val="000000"/>
          <w:sz w:val="24"/>
          <w:szCs w:val="24"/>
          <w:lang w:eastAsia="ru-RU"/>
        </w:rPr>
        <w:t xml:space="preserve">Проблемы: </w:t>
      </w:r>
      <w:r>
        <w:rPr>
          <w:rFonts w:eastAsia="Times New Roman" w:cs="Times New Roman" w:ascii="Times New Roman" w:hAnsi="Times New Roman"/>
          <w:color w:val="000000"/>
          <w:sz w:val="24"/>
          <w:szCs w:val="24"/>
          <w:lang w:eastAsia="ru-RU"/>
        </w:rPr>
        <w:t xml:space="preserve">Проблема «старения» педагогических кадров, низкий «приток» молодых специалистов. </w:t>
      </w:r>
    </w:p>
    <w:p>
      <w:pPr>
        <w:pStyle w:val="Normal"/>
        <w:shd w:val="clear" w:color="auto" w:fill="FFFFFF"/>
        <w:spacing w:lineRule="auto" w:line="240" w:before="0" w:after="0"/>
        <w:ind w:firstLine="709"/>
        <w:jc w:val="both"/>
        <w:rPr>
          <w:rFonts w:ascii="Times New Roman" w:hAnsi="Times New Roman" w:eastAsia="Times New Roman" w:cs="Times New Roman"/>
          <w:b/>
          <w:b/>
          <w:color w:val="000000"/>
          <w:sz w:val="24"/>
          <w:szCs w:val="24"/>
          <w:lang w:eastAsia="ru-RU"/>
        </w:rPr>
      </w:pPr>
      <w:r>
        <w:rPr>
          <w:rFonts w:eastAsia="Times New Roman" w:cs="Times New Roman" w:ascii="Times New Roman" w:hAnsi="Times New Roman"/>
          <w:b/>
          <w:sz w:val="24"/>
          <w:szCs w:val="24"/>
          <w:shd w:fill="FFFFFF" w:val="clear"/>
          <w:lang w:eastAsia="ru-RU"/>
        </w:rPr>
        <w:t xml:space="preserve">Пути решения проблем: </w:t>
      </w:r>
      <w:r>
        <w:rPr>
          <w:rFonts w:eastAsia="Times New Roman" w:cs="Times New Roman" w:ascii="Times New Roman" w:hAnsi="Times New Roman"/>
          <w:color w:val="000000"/>
          <w:sz w:val="24"/>
          <w:szCs w:val="24"/>
          <w:lang w:eastAsia="ru-RU"/>
        </w:rPr>
        <w:t xml:space="preserve">Создание комфортных условий труда для привлечения молодых специалистов. Необходимо вовлекать педагогов, владеющих профессиональным мастерством в работу ШМО и творческих групп. Организовать работу по обобщению и передаче педагогического опыта на тематических семинарах и консультациях муниципального и краевых уровней, ваимопосещение уроков с той же целью. Привлекать педагогов школы к методической работе и активизировать их потенциал для повышения качества образования. </w:t>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egoe UI">
    <w:charset w:val="01"/>
    <w:family w:val="roman"/>
    <w:pitch w:val="variable"/>
  </w:font>
  <w:font w:name="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61fae"/>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BalloonText"/>
    <w:uiPriority w:val="99"/>
    <w:semiHidden/>
    <w:qFormat/>
    <w:rsid w:val="009204e7"/>
    <w:rPr>
      <w:rFonts w:ascii="Segoe UI" w:hAnsi="Segoe UI" w:cs="Segoe UI"/>
      <w:sz w:val="18"/>
      <w:szCs w:val="18"/>
    </w:rPr>
  </w:style>
  <w:style w:type="character" w:styleId="Style15" w:customStyle="1">
    <w:name w:val="Название Знак"/>
    <w:basedOn w:val="DefaultParagraphFont"/>
    <w:uiPriority w:val="10"/>
    <w:qFormat/>
    <w:rsid w:val="00221d4e"/>
    <w:rPr>
      <w:rFonts w:ascii="Times New Roman" w:hAnsi="Times New Roman" w:eastAsia="Times New Roman" w:cs="Times New Roman"/>
      <w:b/>
      <w:bCs/>
      <w:sz w:val="28"/>
      <w:szCs w:val="28"/>
    </w:rPr>
  </w:style>
  <w:style w:type="paragraph" w:styleId="Style16">
    <w:name w:val="Заголовок"/>
    <w:basedOn w:val="Normal"/>
    <w:next w:val="Style17"/>
    <w:qFormat/>
    <w:pPr>
      <w:keepNext w:val="true"/>
      <w:spacing w:before="240" w:after="120"/>
    </w:pPr>
    <w:rPr>
      <w:rFonts w:ascii="Liberation Sans" w:hAnsi="Liberation Sans" w:eastAsia="Droid Sans Fallback" w:cs="Droid Sans Devanagari"/>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Droid Sans Devanagari"/>
    </w:rPr>
  </w:style>
  <w:style w:type="paragraph" w:styleId="Style19">
    <w:name w:val="Caption"/>
    <w:basedOn w:val="Normal"/>
    <w:qFormat/>
    <w:pPr>
      <w:suppressLineNumbers/>
      <w:spacing w:before="120" w:after="120"/>
    </w:pPr>
    <w:rPr>
      <w:rFonts w:cs="Droid Sans Devanagari"/>
      <w:i/>
      <w:iCs/>
      <w:sz w:val="24"/>
      <w:szCs w:val="24"/>
    </w:rPr>
  </w:style>
  <w:style w:type="paragraph" w:styleId="Style20">
    <w:name w:val="Указатель"/>
    <w:basedOn w:val="Normal"/>
    <w:qFormat/>
    <w:pPr>
      <w:suppressLineNumbers/>
    </w:pPr>
    <w:rPr>
      <w:rFonts w:cs="Droid Sans Devanagari"/>
      <w:lang w:val="zxx" w:eastAsia="zxx" w:bidi="zxx"/>
    </w:rPr>
  </w:style>
  <w:style w:type="paragraph" w:styleId="TableText" w:customStyle="1">
    <w:name w:val="Table Text"/>
    <w:qFormat/>
    <w:rsid w:val="00272107"/>
    <w:pPr>
      <w:widowControl w:val="false"/>
      <w:overflowPunct w:val="true"/>
      <w:bidi w:val="0"/>
      <w:spacing w:lineRule="auto" w:line="240" w:before="0" w:after="0"/>
      <w:jc w:val="left"/>
      <w:textAlignment w:val="baseline"/>
    </w:pPr>
    <w:rPr>
      <w:rFonts w:ascii="Times New Roman" w:hAnsi="Times New Roman" w:eastAsia="Times New Roman" w:cs="Times New Roman"/>
      <w:color w:val="000000"/>
      <w:kern w:val="0"/>
      <w:sz w:val="20"/>
      <w:szCs w:val="20"/>
      <w:lang w:eastAsia="ru-RU" w:val="ru-RU" w:bidi="ar-SA"/>
    </w:rPr>
  </w:style>
  <w:style w:type="paragraph" w:styleId="ListParagraph">
    <w:name w:val="List Paragraph"/>
    <w:basedOn w:val="Normal"/>
    <w:uiPriority w:val="34"/>
    <w:qFormat/>
    <w:rsid w:val="003b603d"/>
    <w:pPr>
      <w:spacing w:before="0" w:after="160"/>
      <w:ind w:left="720" w:hanging="0"/>
      <w:contextualSpacing/>
    </w:pPr>
    <w:rPr/>
  </w:style>
  <w:style w:type="paragraph" w:styleId="BalloonText">
    <w:name w:val="Balloon Text"/>
    <w:basedOn w:val="Normal"/>
    <w:link w:val="Style14"/>
    <w:uiPriority w:val="99"/>
    <w:semiHidden/>
    <w:unhideWhenUsed/>
    <w:qFormat/>
    <w:rsid w:val="009204e7"/>
    <w:pPr>
      <w:spacing w:lineRule="auto" w:line="240" w:before="0" w:after="0"/>
    </w:pPr>
    <w:rPr>
      <w:rFonts w:ascii="Segoe UI" w:hAnsi="Segoe UI" w:cs="Segoe UI"/>
      <w:sz w:val="18"/>
      <w:szCs w:val="18"/>
    </w:rPr>
  </w:style>
  <w:style w:type="paragraph" w:styleId="Style21">
    <w:name w:val="Title"/>
    <w:basedOn w:val="Normal"/>
    <w:link w:val="Style15"/>
    <w:uiPriority w:val="10"/>
    <w:qFormat/>
    <w:rsid w:val="00221d4e"/>
    <w:pPr>
      <w:widowControl w:val="false"/>
      <w:spacing w:lineRule="auto" w:line="240" w:before="0" w:after="0"/>
      <w:ind w:left="1152" w:right="1012" w:hanging="0"/>
      <w:jc w:val="center"/>
    </w:pPr>
    <w:rPr>
      <w:rFonts w:ascii="Times New Roman" w:hAnsi="Times New Roman" w:eastAsia="Times New Roman" w:cs="Times New Roman"/>
      <w:b/>
      <w:bCs/>
      <w:sz w:val="28"/>
      <w:szCs w:val="28"/>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3">
    <w:name w:val="Table Grid"/>
    <w:basedOn w:val="a1"/>
    <w:uiPriority w:val="39"/>
    <w:rsid w:val="00db1b5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2E0680-C7BB-430F-A31E-C6FBE33DD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Application>LibreOffice/7.3.7.2$Linux_X86_64 LibreOffice_project/30$Build-2</Application>
  <AppVersion>15.0000</AppVersion>
  <Pages>2</Pages>
  <Words>428</Words>
  <Characters>3345</Characters>
  <CharactersWithSpaces>3706</CharactersWithSpaces>
  <Paragraphs>75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2023-09-29T14:00:00Z</dcterms:created>
  <dc:creator>Директор</dc:creator>
  <dc:description/>
  <dc:language>ru-RU</dc:language>
  <cp:lastModifiedBy/>
  <cp:lastPrinted>2023-03-28T06:01:00Z</cp:lastPrinted>
  <dcterms:modified xsi:type="dcterms:W3CDTF">2023-10-08T16:11:27Z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